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161</w:t>
      </w:r>
    </w:p>
    <w:p>
      <w:r>
        <w:t>Bundesgericht (BGE), 2013-04-22, DE</w:t>
      </w:r>
    </w:p>
    <w:p>
      <w:r>
        <w:rPr>
          <w:b/>
        </w:rPr>
        <w:t xml:space="preserve">Quelle: </w:t>
      </w:r>
      <w:r>
        <w:t>https://mcp.opencaselaw.ch/entscheid/bge_139 I 161</w:t>
      </w:r>
    </w:p>
    <w:p>
      <w:r>
        <w:t>FR: ATF 139 I 161</w:t>
      </w:r>
    </w:p>
    <w:p>
      <w:r>
        <w:t>IT: DTF 139 I 161</w:t>
      </w:r>
    </w:p>
    <w:p>
      <w:pPr>
        <w:pStyle w:val="Heading2"/>
      </w:pPr>
      <w:r>
        <w:t>Regeste</w:t>
      </w:r>
    </w:p>
    <w:p>
      <w:r>
        <w:t>Regeste Art. 8 Abs. 1 und 3 BV; juristischer Studienabschluss als sachgerechtes objektives Kriterium für die Lohneinstufung einer Richterin oder eines Richters. Die lohnmässige Ungleichbehandlung von Kreisrichterinnen und Kreisrichtern im Kanton St. Gallen, welche die Anforderungen einer juristischen Ausbildung nach Art. 26 GerG erfüllen, und denjenigen, welche mangels entsprechender juristischer Ausbildung lediglich noch aufgrund einer Übergangsbestimmung als fest angestelltes Mitglied des Kreisgerichts mit auf das Familienrecht beschränktem Tätigkeitsbereich amten können, verletzt weder das Rechtsgleichheitsgebot noch das Diskriminierungsverbot (E. 5.3 und 5.4).</w:t>
      </w:r>
    </w:p>
    <w:p>
      <w:pPr>
        <w:pStyle w:val="Heading2"/>
      </w:pPr>
      <w:r>
        <w:t>Erwägungen</w:t>
      </w:r>
    </w:p>
    <w:p>
      <w:r>
        <w:rPr>
          <w:b/>
        </w:rPr>
        <w:t>E. 3</w:t>
      </w:r>
    </w:p>
    <w:p>
      <w:r>
        <w:t>Streitig und zu prüfen ist die im Rahmen der Justizreform 2009 per 1. Juni 2009 erfolgte Neueinstufung der Beschwerdeführerin durch das Kantonsgericht in die Lohnklasse A24/8 mit einem Jahresbruttolohn von Fr. 127'349.30 (Vollpensum). Unbestritten ist dabei, dass die Beschwerdeführerin über keinen juristischen Studienabschluss verfügt, für die Amtsdauer 2009 bis 2015 erneut gewählt wurde und als fest angestellte nebenamtliche Kreisrichterin nach Übergangsrecht die Funktion einer Familienrichterin innehat. Ebenfalls nicht streitig ist, dass durch die Neueinstufung der Besitzstand gewahrt wurde.</w:t>
      </w:r>
    </w:p>
    <w:p>
      <w:r>
        <w:rPr>
          <w:b/>
        </w:rPr>
        <w:t>E. 4</w:t>
      </w:r>
    </w:p>
    <w:p>
      <w:r>
        <w:t>In umfangreichen und einlässlichen Erwägungen hielt die Vorinstanz im Wesentlichen fest, für die Besoldungseinreihung der Beschwerdeführerin seien das Gerichtsgesetz des Kantons St. Gallen vom 2. April 1987 (GerG; sGS 941.1) und die Besoldungsverordnung des Kantons St. Gallen vom 27. Februar 1996 (BesV; sGS 143.2) sowie die dazugehörenden Botschaften massgebend. Sie legte dar, im Zuge der Justizreform 2009 seien gestützt auf den IV. Nachtrag zum GerG neue Personalstrukturen an den Kreisgerichten eingeführt worden, welche mit Anpassungen bei der Besoldung verbunden gewesen seien. Dazu sei der IX. Nachtrag zur BesV erlassen worden. Seit der Justizreform kenne das Gerichtsgesetz - so das kantonale Gericht - die Personalkategorien Kreisgerichtspräsidium, hauptamtliche und fest angestellte nebenamtliche Richterinnen und Richter, nebenamtliche Richterinnen und Richter ohne feste Anstellung sowie Kreisgerichtsschreiberinnen und Kreisgerichtsschreiber. Für die fest angestellten richterlichen Mitglieder seien neben den BGE 139 I 161 S. 164 allgemeinen Wahlvoraussetzungen gemäss Art. 26 GerG eine abgeschlossene juristische Ausbildung mit Lizenziat oder Master einer schweizerischen Hochschule oder das schweizerische Anwaltspatent sowie drei Jahre Berufserfahrung in der Rechtspflege oder Advokatur verlangt, wobei das Kreisgericht bisherige Familienrichterinnen und Familienrichter ohne juristischen Studienabschluss oder Anwaltspatent gemäss den Übergangsbestimmungen des IV. Nachtrages zum GerG (III. Ziff. 3) weiterhin als Familienrichterinnen und Familienrichter einsetzen könne. Die individuellen Besoldungseinreihungen der Kreisrichterinnen und Kreisrichter erfolgten im durch Gesetz- und Verordnungsgeber vorgesehenen Rahmen durch das Kantonsgericht. Dabei sei für die Richterinnen und Richter, welche die Anforderungen gemäss Art. 26 GerG erfüllten, in Übereinstimmung mit Anhang A der BesV als unterste Lohnklasse die Klasse A28/1 vorgesehen worden, während hinsichtlich der aufgrund des Übergangsrechts fest angestellten Familienrichterinnen und Familienrichter ohne juristischen Universitätsabschluss eine Beförderung im Rahmen einer ausserordentlichen Spanne in Aussicht gestellt, jedoch betont worden sei, dass sich eine besoldungsmässige Differenzierung zu den Richterinnen und Richtern mit juristischem Studienabschluss weiterhin rechtfertige. Die Einreihung der Beschwerdeführerin in die Lohnklasse A24/8 hielt die Vorinstanz für sachgerecht und begründete dies im Wesentlichen damit, der Verordnungsgeber habe weiterhin eine besoldungsmässige Differenzierung zwischen den Familienrichterinnen und Familienrichtern, die lediglich aufgrund einer Übergangsbestimmung noch als fest angestelltes richterliches Mitglied des Kreisgerichts amten könnten, und den Kreisrichterinnen und Kreisrichtern, welche den Anforderungen nach Art. 26 GerG genügten, gewollt. Das Besoldungsminimum in der Lohnklasse A28 gelte nur für letztere Kategorie. Darin liege weder ein Verstoss gegen das Rechtsgleichheitsgebot, da die unterschiedliche Ausbildung und Einsetzbarkeit sachlich vernünftige Gründe für eine besoldungsmässige Unterscheidung darstellten, noch gegen das Diskriminierungsverbot, da keine geschlechterspezifische Entlöhnung erkennbar sei. Schliesslich taxierte die Vorinstanz auch die effektive Erhöhung von der Lohnklasse A23/8 zu A24/8 im Betrag von Fr. 7'322.20 (Vollpensum) pro Jahr als sachgerecht, zumal im bisherigen Lohn sowohl die Erfahrungen wie auch Vorbildungen berücksichtigt seien.</w:t>
      </w:r>
    </w:p>
    <w:p>
      <w:r>
        <w:rPr>
          <w:b/>
        </w:rPr>
        <w:t>E. 5</w:t>
      </w:r>
    </w:p>
    <w:p>
      <w:r>
        <w:t>Die grösstenteils bereits im kantonalen Verfahren vorgebrachten Einwendungen der Beschwerdeführerin vermögen den BGE 139 I 161 S. 165 vorinstanzlichen Entscheid weder als willkürlich noch sonst wie als bundesrechtswidrig erscheinen zu lassen.</w:t>
      </w:r>
    </w:p>
    <w:p>
      <w:r>
        <w:rPr>
          <w:b/>
        </w:rPr>
        <w:t>E. 5.1</w:t>
      </w:r>
    </w:p>
    <w:p>
      <w:r>
        <w:t>Im Zuge der Justizreform 2009 wurden - wie die Vorinstanz dargelegt hat - gestützt auf den IV. Nachtrag zum GerG neue Personalstrukturen an den Kreisgerichten eingeführt, die mit Anpassungen bei der Besoldung verbunden waren. Dazu wurde der IX. Nachtrag zur BesV erlassen, der vom Kantonsrat am 22. April 2009 genehmigt wurde. Zutreffend ist, dass für die Besoldungseinreihung der Beschwerdeführerin neben dem GerG und der BesV das Rechtsgleichheitsgebot nach Art. 8 Abs. 1 BV sowie das Verbot geschlechtsdiskriminierender Entlöhnung nach Art. 8 Abs. 3 BV massgebend sind.</w:t>
      </w:r>
    </w:p>
    <w:p>
      <w:r>
        <w:rPr>
          <w:b/>
        </w:rPr>
        <w:t>E. 5.2</w:t>
      </w:r>
    </w:p>
    <w:p>
      <w:r>
        <w:t>Die Beschwerdeführerin macht diesbezüglich im Wesentlichen geltend, für sie gelte als Besoldungsminimum ebenfalls Lohnklasse A28. Als Kreisrichterinnen und Kreisrichter seien nach Art. 26 Abs. 1 lit. a GerG nicht nur Personen mit einem juristischen Studienabschluss wählbar, sondern auch solche, die über einen andern Hochschulabschluss oder Fähigkeitsausweis verfügten, welcher vom Präsidenten des Kreisgerichts als gleichwertig anerkannt sei. Die Frage einer gleichwertigen Ausbildung sei für die Wählbarkeitsvoraussetzungen der Beschwerdeführerin nicht zu prüfen, da sie die Anforderungen nach Übergangsrecht erfülle. Zu den fest angestellten Richterinnen und Richtern zählten sowohl jene nach Art. 26 GerG wie auch jene nach Übergangsrecht. Eine besoldungsmässige Differenzierung sei in der BesV und dazugehörenden Botschaft lediglich noch zwischen Kreisgerichtspräsidenten und fest angestellten Richterinnen und Richtern vorgesehen, während die Kategorie der Richterinnen und Richter ohne Studienabschluss in der Botschaft nicht mehr erwähnt werde. Die Gleichsetzung der fest angestellten Richterinnen und Richter mit und ohne juristischen Studienabschluss sei von Wortlaut und Systematik der BesV her eindeutig. Mit der Einstufung der Beschwerdeführerin in die Lohnklasse A24/8 habe das Kantonsgericht somit eine willkürliche Einstufung ohne Rechtsgrundlage bzw. in Verletzung der BesV vorgenommen und die Beschwerdeführerin gegenüber den übrigen fest angestellten Richterinnen und Richtern nach Art. 26 GerG rechtsungleich behandelt, zumal sie die gleiche Arbeitsleistung erbringe und ihre Arbeit vorbehaltlos erfülle.</w:t>
      </w:r>
    </w:p>
    <w:p>
      <w:r>
        <w:rPr>
          <w:b/>
        </w:rPr>
        <w:t>E. 5.3</w:t>
      </w:r>
    </w:p>
    <w:p>
      <w:r>
        <w:t>Zu prüfen ist vorab eine Verletzung des Rechtsgleichheitsgebots:</w:t>
      </w:r>
    </w:p>
    <w:p>
      <w:r>
        <w:rPr>
          <w:b/>
        </w:rPr>
        <w:t>E. 5.3.1</w:t>
      </w:r>
    </w:p>
    <w:p>
      <w:r>
        <w:t>Der Grundsatz der Rechtsgleichheit ( Art. 8 Abs. 1 BV ) ist verletzt, wenn im öffentlichen Dienstrecht gleichwertige Arbeit ungleich BGE 139 I 161 S. 166 entlöhnt wird. Das Bundesgericht hat freilich den Behörden einen grossen Spielraum in der Ausgestaltung von Besoldungsordnungen zugestanden.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Besoldungshöhe massgebend sein sollen ( BGE 125 I 71 E. 2c/aa S. 79; BGE 124 II 409 E. 9b S. 426 f.; BGE 123 I 1 E. 6b S. 8; BGE 121 I 102 E. 4a/c S. 104 f.). Nach ständiger Rechtsprechung ist Art. 8 BV (bzw. Art. 4 aBV ) nicht verletzt, wenn Besoldungsunterschiede auf objektive Motive wie Alter, Dienstalter, Erfahrung, Familienlasten, Qualifikation, Art und Dauer der Ausbildung, Arbeitszeit, Leistung, Aufgabenbereich oder übernommene Verantwortlichkeiten zurückzuführen sind ( BGE 131 I 105 E. 3.1 S. 107; BGE 123 I 1 E. 6c S. 8; je mit Hinweisen; vgl. auch Urteile 8C_572/2012 vom 11. Januar 2013 E. 3.4.1 und 1C_295/2008 vom 29. Mai 2009 E. 2.6). Das Bundesgericht übt eine gewisse Zurückhaltung und greift von Verfassungs wegen bloss ein, wenn der Kanton mit den Unterscheidungen, die er trifft, eine Grenze zieht, die sich nicht vernünftig begründen lässt, die unhaltbar und damit in den meisten Fällen auch geradezu willkürlich ist ( BGE 129 I 161 E. 3.2 S. 165; BGE 123 I 1 E. 6a S. 7 f.; je mit Hinweisen). Schliesslich hält auch ein gewisser, aus praktischen Gründen bestehender Schematismus innerhalb der Besoldungsordnung vor dem Rechtsgleichheitsgebot stand, selbst wenn er Grenzfällen nicht immer gerecht zu werden vermag ( BGE 121 I 102 E. 4d/aa S. 107; Urteile 8C_572/2012 vom 11. Januar 2013 E. 3.4.1 und 1C_295/2008 vom 29. Mai 2009 E. 2.7).</w:t>
      </w:r>
    </w:p>
    <w:p>
      <w:r>
        <w:rPr>
          <w:b/>
        </w:rPr>
        <w:t>E. 5.3.2</w:t>
      </w:r>
    </w:p>
    <w:p>
      <w:r>
        <w:t>Dass die absolvierte Ausbildung bei der Lohneinstufung einer Richterin oder eines Richters als sachgerechtes objektives Kriterium zulässigerweise mitzuberücksichtigen ist, kann nicht ernsthaft infrage gestellt werden. Fällt praxisgemäss eine bundesgerichtliche Korrektur der hier zur Diskussion stehenden, unterschiedlichen kantonalen Lohneinstufung unter dem Blickwinkel des Rechtsgleichheitsgebotes nur dann in Betracht, wenn sich die gerügte Lohnungleichbehandlung geradezu als willkürlich erweist, so hält jedenfalls die unterschiedliche Einstufung der Beschwerdeführerin im Vergleich zu den fest angestellten Kreisrichterinnen und Kreisrichtern, welche die Voraussetzungen gemäss Art. 26 GerG erfüllen, vor dem Rechtsgleichheitsgebot ohne Weiteres stand. Denn diese Ungleichbehandlung beruht auf der Berücksichtigung der unterschiedlichen BGE 139 I 161 S. 167 Ausbildung, nämlich des Umstandes, dass die Beschwerdeführerin kein juristisches Studium oder eine vergleichbare Ausbildung absolviert hat und nicht im Besitz eines schweizerischen Anwaltspatentes ist, sowie der daraus resultierenden beschränkten Einsetzbarkeit. Bereits unter dem bis 30. Mai 2009 geltenden Recht waren - wie Botschaft und Entwurf des Kantonsratsbeschlusses über die Genehmigung des IX. Nachtrags vom 20. Januar 2009 zur BesV zu entnehmen ist - bei der Besoldungseinreihung primär die Vorbildung und Erfahrung berücksichtigt worden und dementsprechend Familienrichterinnen und Familienrichter ohne juristisches Hochschulstudium in den Lohnklassen A23 bis A26 sowie Richterinnen und Richter mit Hochschulstudium in den Klassen A28 und A29 eingestuft worden. Die in Art. 26 GerG statuierten Wahlvoraussetzungen für hauptamtliche oder fest angestellte nebenamtliche Mitglieder des Kreisgerichts wurden - wie aus der Botschaft der Regierung vom 19. Dezember 2006 zum IV. Nachtrag zum GerG hervorgeht - im Rahmen der Justizreform 2009 zur Qualitätssicherung eingeführt, indem auf diese Weise sichergestellt werden sollte, dass bei den Mitgliedern des Kreisgerichts durchwegs juristische Fachkompetenz vorhanden ist. Mit Ausnahme der bisherigen Laienrichterinnen und Laienrichter, welche gemäss Übergangsbestimmung weiterhin auch ohne juristischen Hochschulabschluss fest angestellt werden können, solle es in Zukunft nicht mehr möglich sei, neu gewählten Laien in der Praxis die für die Tätigkeit als Familienrichterin oder Familienrichter erforderlichen Kenntnisse von Grund auf zu vermitteln. Entsprechend der vorgeschriebenen Ausbildung und Erfahrung sollen fest angestellte Richterinnen und Richter gemäss Art. 33 GerG alle richterlichen Funktionen ausser das Amt des Kreisgerichtspräsidenten ausüben können. Die vom Kantonsrat verabschiedete Voraussetzung eines bestimmten formellen Ausbildungsniveaus mitsamt Berufserfahrung sowie die Durchlässigkeit aller Richterfunktionen wirkt sich gemäss Botschaft und Entwurf des Kantonsratsbeschlusses über die Genehmigung des IX. Nachtrags vom 20. Januar 2009 zur BesV in einer besoldungsmässigen Besserstellung der fest angestellten Richterinnen und Richter durch Einreihung in die Besoldungsklassen A28 bis A33 aus. Dass diese besoldungsmässige Einreihung nur für Kreisrichterinnen und Kreisrichter gilt, welche die Voraussetzungen nach Art. 26 GerG erfüllen, ergibt sich unmissverständlich aus Fussnote 10 zu "Kreisrichter" und "Kreisrichterin" im Text des IX. Nachtrags vom 20. Januar 2009 zur BesV. Entgegen den Ausführungen BGE 139 I 161 S. 168 der Beschwerdeführerin ist diese Fussnote nicht der einzige Hinweis auf die gewollte Ungleichbehandlung der Richterinnen und Richter nach Art. 26 GerG und der übergangsrechtlich angestellten Richterinnen und Richter. Vielmehr lässt sich auch dem Protokoll der Regierung des Kantons St. Gallen zum IX. Nachtrag vom 20. Januar 2009 zur BesV ausdrücklich entnehmen, dass sich die Besoldungseinreihung der Kreisrichterinnen und Kreisrichter nach dem vorausgesetzten formellen Ausbildungsniveau verbunden mit entsprechender Berufserfahrung richte und dass aus der im IV. Nachtrag zum GerG übergangsrechtlich vorgesehenen Möglichkeit der Festanstellung von bisherigen Richterinnen und Richtern, welche die Anstellungsvoraussetzungen gemäss Art. 26 GerG nicht erfüllen, besoldungsmässig nichts abgeleitet werden könne. Im Schreiben des Kantonsgerichts St. Gallen vom 18. November 2009 betreffend Besoldungseinreihung der Kreisrichterinnen und Kreisrichter wurde sodann ausgeführt, die übergangsrechtlich fest angestellten Familienrichter und Familienrichterinnen sollten im Rahmen einer ausserordentlichen Spanne ebenfalls befördert werden. Das Kantonsgericht zusammen mit dem Personalamt sei jedoch nach wie vor der Auffassung, dass sich eine Differenzierung zur Richterschaft, welche die Bedingungen zur Einreihung ab der Besoldungsklasse A28 erfüllen müsse, weiterhin rechtfertigen lasse.</w:t>
      </w:r>
    </w:p>
    <w:p>
      <w:r>
        <w:rPr>
          <w:b/>
        </w:rPr>
        <w:t>E. 5.3.3</w:t>
      </w:r>
    </w:p>
    <w:p>
      <w:r>
        <w:t>Zusammenfassend ergibt sich die unterschiedliche Einstufung von Familienrichterinnen und Familienrichtern, die lediglich aufgrund einer Übergangsbestimmung noch als fest angestelltes richterliches Mitglied des Kreisgerichts amten können, und Kreisrichterinnen und Kreisrichtern, welche die Anforderungen nach Art. 26 GerG erfüllen, sowohl aus dem Wortlaut der gesetzlichen Bestimmungen als auch aus dem darin vorgesehenen System der Durchlässigkeit. Wenn die Vorinstanz die fehlende juristische Ausbildung der Beschwerdeführerin und somit die Nichterfüllung der Wählbarkeitsvoraussetzungen nach Art. 26 GerG sowie die daraus folgende beschränkte Einsetzbarkeit als Familienrichterin als sachlich haltbare Gründe für eine unterschiedliche Einstufung bejaht, kann darin keine Bundesrechtswidrigkeit erblickt werden. Dass auch fest angestellte Kreisrichterinnen und Kreisrichter, welche die Anforderungen gemäss Art. 26 GerG erfüllen, lediglich als Familienrichterinnen und Familienrichter tätig seien - wie dies die Beschwerdeführerin geltend macht -, vermag daran nichts zu ändern, wären diese doch dank ihrer umfassenden juristischen Ausbildung und Erfahrung auch anderweitig einsetzbar. Nicht geltend gemacht wird sodann, dass ein BGE 139 I 161 S. 169 anderweitiger Einsatz der juristisch ausgebildeten Richterinnen und Richter von vornherein nicht in Betracht gezogen werde. Schliesslich ist als weiteres Kriterium für eine unterschiedliche Einstufung nochmals zu betonen, dass eine juristische Ausbildung von Richterinnen und Richtern einer qualitativ hochstehenden richterlichen Tätigkeit förderlich ist. Die lohnmässige Ungleichbehandlung vermag sich somit auf objektive Gründe abzustützen, liegt im Rahmen des weiten Ermessensspielraums der einreihenden Behörde und verletzt daher das Rechtsgleichheitsgebot nicht.</w:t>
      </w:r>
    </w:p>
    <w:p>
      <w:r>
        <w:rPr>
          <w:b/>
        </w:rPr>
        <w:t>E. 5.4</w:t>
      </w:r>
    </w:p>
    <w:p>
      <w:r>
        <w:t>Soweit die Beschwerdeführerin erneut eine Verletzung des Diskriminierungsverbotes nach Art. 8 Abs. 3 BV geltend macht, kann auf die einlässliche vorinstanzliche Begründung verwiesen werden, die aufzeigt, dass die Beschwerdeführerin weder direkt noch indirekt als Frau diskriminiert ist. Wie das kantonale Gericht zutreffend dargelegt hat, ist die Beschwerdeführerin von der Übergangsbestimmung und deren besoldungsmässigen Konsequenz nicht betroffen, weil sie eine Frau ist, sondern weil sie die Anforderungen nach Art. 26 GerG nicht erfüllt. Diese Regelung enthält keine Unterscheidung nach dem Geschlecht und zielt auch nicht indirekt auf eine Diskriminierung ab. Immerhin ist an dieser Stelle mit aller Deutlichkeit darauf hinzuweisen, dass die Beschwerdeführerin dank der übergangsrechtlichen Regelung überhaupt noch als Familienrichterin tätig sein kann, obschon sie die gesetzlichen Anforderungen dafür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